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REPRESENTATIVE</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[Organization Name] is committed to ensuring the health and safety of all employees and will abide by all provincial legislation as established by the </w:t>
      </w:r>
      <w:r w:rsidDel="00000000" w:rsidR="00000000" w:rsidRPr="00000000">
        <w:rPr>
          <w:rFonts w:ascii="Calibri" w:cs="Calibri" w:eastAsia="Calibri" w:hAnsi="Calibri"/>
          <w:i w:val="1"/>
          <w:highlight w:val="white"/>
          <w:rtl w:val="0"/>
        </w:rPr>
        <w:t xml:space="preserve">Ontario Occupational Health and Safety Act</w:t>
      </w:r>
      <w:r w:rsidDel="00000000" w:rsidR="00000000" w:rsidRPr="00000000">
        <w:rPr>
          <w:rFonts w:ascii="Calibri" w:cs="Calibri" w:eastAsia="Calibri" w:hAnsi="Calibri"/>
          <w:highlight w:val="white"/>
          <w:rtl w:val="0"/>
        </w:rPr>
        <w:t xml:space="preserve"> (OHSA).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 and Safety Representative</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five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number of employees exceeds 19, [Organization Name] will ensure that a Health and Safety Committee is put into place.</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sufficient time to complete a workplace health and safety inspection at least every month. These inspections shall be kept on file. If the representative requires information and/or assistance in completing the inspection, they shall be provided with it. </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Recommendations</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responsible for providing written recommendations regarding health and safety at [Organization Name]. Any such recommendations will be responded to in writing within 21 days. The response will include when the recommendation will be implemented when [Organization Name] agrees with the recommendation and reasons why when the recommendation is disagreed with and/or not accepted.</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Powers</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within the powers of the representative:</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To know about any tests involving equipment, machines, devices, articles, things, material or biological, chemical, or physical agent in the workplace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To be consulted on or be present when any such testing is occurring (upon the request of the representative)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To be provided information from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concerning:</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identification of existing or potential hazards involving materials, processes, or equipment; and</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other health and safety experience or knowledge of other companies as per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’s knowledge.</w:t>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 the Event of a Critical Injury or Death</w:t>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critical injury or death occurs, the representative will be required to inspect the place where the accident occurred (including if a machine, device, or thing was involved). Following the inspection, the representative is required to present their written findings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O2ubWA+eSpCl80TCZ5Ed+nvPQ==">AMUW2mWItwOMNFLKxsRzmvVFG1dtuL27Lcfky7vymABEsPPal0iMIHOqlj+suhAdZZMEKJY6mRXijRcMFD8znLLgaEjQbOEcRlHPTr2sPEG1Jjia7k6cYho=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2022-06-07T20:12:00Z</dcterms:created>
  <dc:creator>Kelly</dc:creator>
</cp:coreProperties>
</file>